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5FB96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E0B3F" w:rsidRPr="002E0B3F" w:rsidTr="002E0B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B3F" w:rsidRPr="002E0B3F" w:rsidRDefault="002E0B3F" w:rsidP="002E0B3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Convenção Coletiva De Trabalho 2016/2017 </w:t>
            </w:r>
          </w:p>
        </w:tc>
      </w:tr>
      <w:tr w:rsidR="002E0B3F" w:rsidRPr="002E0B3F" w:rsidTr="002E0B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2"/>
              <w:gridCol w:w="53"/>
              <w:gridCol w:w="1966"/>
            </w:tblGrid>
            <w:tr w:rsidR="002E0B3F" w:rsidRPr="002E0B3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NÚMERO DE REGISTRO NO MTE: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PR005438/2016</w:t>
                  </w:r>
                </w:p>
              </w:tc>
            </w:tr>
            <w:tr w:rsidR="002E0B3F" w:rsidRPr="002E0B3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DATA DE REGISTRO NO MTE: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14/12/2016</w:t>
                  </w:r>
                </w:p>
              </w:tc>
            </w:tr>
            <w:tr w:rsidR="002E0B3F" w:rsidRPr="002E0B3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NÚMERO DA SOLICITAÇÃO: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MR082950/2016</w:t>
                  </w:r>
                </w:p>
              </w:tc>
            </w:tr>
            <w:tr w:rsidR="002E0B3F" w:rsidRPr="002E0B3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NÚMERO DO PROCESSO: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46318.005323/2016-92</w:t>
                  </w:r>
                </w:p>
              </w:tc>
            </w:tr>
            <w:tr w:rsidR="002E0B3F" w:rsidRPr="002E0B3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DATA DO PROTOCOLO: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08/12/2016</w:t>
                  </w:r>
                </w:p>
              </w:tc>
            </w:tr>
          </w:tbl>
          <w:p w:rsidR="002E0B3F" w:rsidRPr="002E0B3F" w:rsidRDefault="002E0B3F" w:rsidP="002E0B3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Confira a autenticidade no endereço http://www3.mte.gov.br/sistemas/mediador/.</w:t>
            </w:r>
          </w:p>
        </w:tc>
      </w:tr>
      <w:tr w:rsidR="002E0B3F" w:rsidRPr="002E0B3F" w:rsidTr="002E0B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SINDICATO DAS ACADEMIAS E ATIVIDADES AFINS DO NOROESTE DO PARANA-SINACAD/NOPR, CNPJ n. 07.122.938/0001-23, neste ato representado(a) por seu Presidente, 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</w:t>
            </w:r>
            <w:proofErr w:type="spell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(a). GILMAR </w:t>
            </w:r>
            <w:proofErr w:type="gram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MEZZAROBA;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E</w:t>
            </w:r>
            <w:proofErr w:type="gram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SIND DOS TRABALHADORES EM ESTAB DE ENSINO DE MARINGA, CNPJ n. 78.846.250/0001-34, neste ato representado(a) por seu Presidente, 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</w:t>
            </w:r>
            <w:proofErr w:type="spell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(a). JOSE MARIA DE OLIVEIRA MARQUES;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celebram a presente CONVENÇÃO COLETIVA DE TRABALHO, estipulando as condições de trabalho previstas nas cláusulas seguintes: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CLÁUSULA PRIMEIRA - VIGÊNCIA E DATA-BASE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As partes fixam a vigência da presente Convenção Coletiva de Trabalho no período de 01º de março de 2016 a 28 de fevereiro de 2017 e a data-base da categoria em 01º de março.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CLÁUSULA SEGUNDA - ABRANGÊNCIA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A presente Convenção Coletiva de Trabalho abrangerá a(s) categoria(s)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Profissionais dos Trabalhadores em Estabelecimentos de Ensino, plano da CNTEEC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com abrangência territorial em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Maringá/PR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Salários, Reajustes e Pagamento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Piso Salarial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TERCEIRA - PISO SALARIAL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 pisos salariais ficam estabelecidos como segue: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A partir de março a agosto/2016 os pisos salariais serão de: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1"/>
              <w:gridCol w:w="2033"/>
            </w:tblGrid>
            <w:tr w:rsidR="002E0B3F" w:rsidRPr="002E0B3F"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CATEGORIA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15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PISO SALARIAL</w:t>
                  </w:r>
                </w:p>
              </w:tc>
            </w:tr>
            <w:tr w:rsidR="002E0B3F" w:rsidRPr="002E0B3F"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1. Auxiliar Administrativo e Monitor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15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R$ 979,88</w:t>
                  </w:r>
                </w:p>
              </w:tc>
            </w:tr>
            <w:tr w:rsidR="002E0B3F" w:rsidRPr="002E0B3F"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2. Auxiliar Administrativo de Serviços Gerais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15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R$ 979,88</w:t>
                  </w:r>
                </w:p>
                <w:p w:rsidR="002E0B3F" w:rsidRPr="002E0B3F" w:rsidRDefault="002E0B3F" w:rsidP="002E0B3F">
                  <w:pPr>
                    <w:spacing w:after="15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</w:tr>
          </w:tbl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 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A partir de setembro/2016 a janeiro/2017 os pisos salariais serão de: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1"/>
              <w:gridCol w:w="2033"/>
            </w:tblGrid>
            <w:tr w:rsidR="002E0B3F" w:rsidRPr="002E0B3F"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CATEGORIA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15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PISO SALARIAL</w:t>
                  </w:r>
                </w:p>
              </w:tc>
            </w:tr>
            <w:tr w:rsidR="002E0B3F" w:rsidRPr="002E0B3F"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1. Auxiliar Administrativo e Monitor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15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R$ 1.007,83</w:t>
                  </w:r>
                </w:p>
              </w:tc>
            </w:tr>
            <w:tr w:rsidR="002E0B3F" w:rsidRPr="002E0B3F"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2. Auxiliar Administrativo de Serviços Gerais</w:t>
                  </w:r>
                </w:p>
                <w:p w:rsidR="002E0B3F" w:rsidRPr="002E0B3F" w:rsidRDefault="002E0B3F" w:rsidP="002E0B3F">
                  <w:pPr>
                    <w:spacing w:after="15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15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R$ 1.007,83</w:t>
                  </w:r>
                </w:p>
              </w:tc>
            </w:tr>
          </w:tbl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1"/>
              <w:gridCol w:w="2023"/>
            </w:tblGrid>
            <w:tr w:rsidR="002E0B3F" w:rsidRPr="002E0B3F"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</w:tr>
            <w:tr w:rsidR="002E0B3F" w:rsidRPr="002E0B3F"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</w:tr>
            <w:tr w:rsidR="002E0B3F" w:rsidRPr="002E0B3F"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</w:tr>
          </w:tbl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– Nos pisos salariais descritos na presente cláusula já estão incluídos os valores relativos ao Descanso Semanal Remunerado.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Entende-se por: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- Auxiliar Administrativo: O empregado que desenvolve atividades administrativa;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 - Monitor: Auxiliar administrativo de apoio aos profissionais de educação física;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 - Auxiliar de Serviços gerais: O empregado que assumir atividades de limpeza e/ou manutenção.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Reajustes/Correções Salariais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QUARTA - REAJUSTE SALARIAL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Fica concedido reajuste de: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a)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8% (oito por cento) de reajuste incidente sobre o salário contratual vigente em 01/03/2015. O referido percentual deverá ser pago no período compreendido entre os meses de março/16 a agosto/16;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11,08% (onze vírgulas zero oito por cento) de reajuste sobre o salário contratual vigente em 01/03/2015. O referido percentual deverá ser pago no período compreendido entre os meses de setembro/16 até fevereiro de 2017.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Fica assegurado às Academias que tenham concedido antecipações salariais espontâneas, anotadas ou não como compensáveis, durante o período de 01.03.2015 até a data de assinatura do presente, a compensação do fixado no caput com os percentuais já adiantados.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– Fica excluído do sistema de compensação previsto no parágrafo anterior, todo reajuste salarial proveniente de promoção e/ou alteração de cargo, equiparação salarial determinada por sentença transitada em julgado e aumento real, expressamente concedido a esse título.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TERCEIRO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– Para os auxiliares de administração admitidos entre 01.03.2015 e 29.02.2016 o reajuste salarial prescrito no caput e no parágrafo primeiro desta cláusula será proporcional ao tempo de serviço, na base de 1/12 por mês trabalhado, sem prejuízo do disposto na cláusula terceira. Para este fim, considerar-se-á como um mês fração igual ou superior a 15 dias.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PARÁGRAFO QUARTO -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 percentuais referidos nos itens “a” e “b” não se somam e deverão ser compensados com a eventual antecipação de percentual de reajuste salarial concedida a partir de 01/03/2015. A diferença positiva entre a antecipação de reajuste salarial e os citados percentuais de reajuste deverá ser paga em três parcelas iguais, mensais e sucessivas nas folhas de pagamento de novembro e dezembro/2016 e janeiro/2017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Remuneração DSR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QUINTA - REPOUSO SEMANAL REMUNERADO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Nos termos do art. 6º, da Lei n. 605/49, não será devida a remuneração quando, sem motivo justificado, o empregado não tiver trabalhado durante toda a semana anterior, cumprindo integralmente o seu horário de trabalho.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Outras normas referentes a salários, reajustes, pagamentos e critérios para cálculo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SEXTA - RECIBOS DE PAGAMENTO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Todas as Academias fornecerão aos seus empregados administrativos o comprovante demonstrativo de todas as verbas remuneratórias integrantes do salário, bem como os descontos incidentes a cada mês, explicitando a jornada de trabalho, o número de horas extras e seu respectivo adicional, o D.S.R., o Depósito do F.G.T.S., etc.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ÚNICO -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A jornada de trabalho, bem como o valor da remuneração, deverá constar das anotações da CTPS dos trabalhadores.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Gratificações, Adicionais, Auxílios e Outros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13º Salário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SÉTIMA - DÉCIMO TERCEIRO SALÁRIO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metade do Décimo Terceiro Salário será paga aos empregados administrativos entre os meses de fevereiro e novembro de cada ano, a título de adiantamento, nos termos da lei 4.749/65. Os 50% (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cinqüenta</w:t>
            </w:r>
            <w:proofErr w:type="spell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por cento) restante será pago até o dia 20 (vinte) de dezembro.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Contrato de Trabalho – Admissão, Demissão, Modalidades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Normas para Admissão/Contratação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OITAVA - FORMAS DE CONTRATAÇÃO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Contrato individual de trabalho é o acordo tácito ou expresso, firmado entre a Escola e o empregado, correspondente à relação de emprego.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Parágrafo Primeiro: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Em regra, os contratos individuais de trabalho, no âmbito das academias, deverão ser </w:t>
            </w:r>
            <w:proofErr w:type="gram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feitas</w:t>
            </w:r>
            <w:proofErr w:type="gram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por prazo indeterminado, ressalvadas as hipóteses de contratação a termo dispostas neste instrumento normativo.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Segundo: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Considera-se como de prazo determinado o contrato de trabalho cuja vigência dependa de termo prefixado ou da execução de serviços especificados ou ainda da realização de certo acontecimento suscetível de previsão aproximada.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Terceiro: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Ressalvadas as demais prescrições desta Convenção Coletiva, a Academia poderá pactuar com seus empregados administrativos contratos individuais de trabalho por tempo determinado nas seguintes hipóteses: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a) Quando transitoriedade do serviço a ser desenvolvido justificar a predeterminação do prazo;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 Quando a atividade econômica tiver caráter transitório;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c) Quando o emprego for contratado a título experimental.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Quarto: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 contratos de trabalhos por prazo determinado não poderão ser estipulados por mais de 2 (dois) anos, e, o contrato de experiência não poderá exceder de 90 (noventa) dias.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Quinto: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contrato de trabalho por prazo determinado que, tácita ou expressamente, for prorrogado mais de uma vez, passará a vigorar sem determinação de prazo.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Desligamento/Demissão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NONA - HOMOLOGAÇÃO DE RESCISÃO DE CONTRATO DE TRABALHO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o empregado tiver sido contratado por tempo igual ou maior que 1 (um) ano de serviço no estabelecimento, a rescisão deste deverá ser homologada no Sindicato Profissional ou no Ministério do Trabalho.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ÚNICO -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Quando não existir na localidade nenhum dos órgãos previstos nesta cláusula, a homologação será prestada pelo Representante do Ministério Público, ou, onde houver, pelo Defensor Público e, na falta ou impedimento destes, pelo Juiz de Paz.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Aviso Prévio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- AVISO PRÉVIO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Dado o aviso prévio por uma das partes do contrato de trabalho, a rescisão torna-se efetiva depois de o mesmo ter expirado. O referido prazo que terá uma variação de 30 a 90 dias, nos termos da Lei 12.506, 11 de outubro de 2011.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 </w:t>
            </w:r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a parte notificante reconsiderar o ato, antes do seu termo, à outra parte é facultado aceitar ou não a reconsideração. Caso seja aceita a reconsideração ou continuando a prestação depois de expirado o prazo, o contrato continuará a vigorar, como se o aviso prévio não tivesse sido dado.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 -</w:t>
            </w:r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O horário normal de trabalho do empregado, durante o prazo do aviso prévio, e se a rescisão tiver sido promovida pelo empregador, será reduzido de duas horas diárias, sem prejuízo do salário integral.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PARÁGRAGO TERCEIRO</w:t>
            </w:r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- É facultado ao empregado trabalhar sem a redução das 2 (duas) horas diárias prevista neste artigo, caso em que poderá faltar ao serviço, sem prejuízo do salário integral, </w:t>
            </w:r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por 1 (um) dia, na hipótese do inciso I, e por 7 (sete) dias corridos, na hipótese do inciso II, ambos do artigo 487 da CLT.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QUARTO</w:t>
            </w:r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A falta de aviso por parte do empregado dá ao empregador o direito de descontar os salários correspondentes ao prazo respectivo.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QUINTO</w:t>
            </w:r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O empregado que, durante o prazo do aviso prévio, cometer qualquer das faltas consideradas pela lei como justas para a rescisão, perde o direito ao restante do respectivo prazo.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SEXTO -</w:t>
            </w:r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O empregado, despedido sem justa causa, fica dispensado do cumprimento do aviso prévio quando comprovar a obtenção de novo emprego, ficando o estabelecimento de ensino desobrigado de </w:t>
            </w:r>
            <w:proofErr w:type="spellStart"/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remunerar-lhe</w:t>
            </w:r>
            <w:proofErr w:type="spellEnd"/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os dias não trabalhados.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SÉTIMO - </w:t>
            </w:r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reajustamento salarial coletivo, determinado no curso do aviso prévio, beneficia o empregado </w:t>
            </w:r>
            <w:proofErr w:type="spellStart"/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pré-avisado</w:t>
            </w:r>
            <w:proofErr w:type="spellEnd"/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 despedida, mesmo que tenha recebido antecipadamente os salários correspondentes ao período do aviso, que integra seu tempo de serviço para todos os efeitos legais.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Contrato a Tempo Parcial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PRIMEIRA - CONTRATO A TEMPO PARCIAL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Nos termos do artigo 58-A da CLT, faculta-se às Academias, nos casos em que a jornada semanal não exceder a 25 horas, a adoção do contrato de trabalho em regime de tempo parcial, sendo o salário proporcional à sua jornada, em relação ao empregado administrativo que cumpra na mesma função a jornada de 44 horas semanais, respeitando-se o valor-hora mínimo relativo a tal jornada de trabalho.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 -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Nesta modalidade contratual a remuneração mensal poderá ser inferior ao salário mínimo federal, em decorrência da quantidade de horas trabalhadas pelo empregado.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 -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O empregado contratado em regime de tempo parcial, conforme disposto nesta cláusula, não poderá prestar horas extras, nem poderá utilizar-se do banco de horas previsto nesta Convenção Coletiva de Trabalho.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Estágio/Aprendizagem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SEGUNDA - ESTAGIÁRIOS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 funções de estagiário serão realizadas em conformidade com a legislação específica, Lei nº 11.788, de 25 de setembro de 2008.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Outros grupos específicos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TERCEIRA - TRABALHADOR ESTUDANTE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Ao empregado estudante será concedido abono de faltas para prestação de provas e/ou exames escolares, no horário da realização das mesmas, devendo estas serem comunicadas por escrito com antecedência mínima de 48h00 (quarenta e oito horas), bem como comprovadas mediante documento hábil.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Outras normas referentes a admissão, demissão e modalidades de contratação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br/>
              <w:t>CLÁUSULA DÉCIMA QUARTA - SUBSTITUTO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empregado substituto deverá perceber o mesmo salário que o substituído, enquanto perdurar a substituição, ressalvadas as vantagens pessoais, respeitando-se os planos de cargos e salários da instituição que os tiver.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QUINTA - RESCISÕES DO CONTRATO DE TRABALHO POR PRAZO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rescisão de contrato de trabalho por prazo reger-se-á pelas seguintes disposições: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- O empregador que, sem justa causa, despedir o empregado, será obrigado a pagar-lhe, a título </w:t>
            </w:r>
            <w:r w:rsidRPr="002E0B3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indenização, e por metade, a remuneração a que teria direito até o termo do contrato.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II - O empregado não poderá desligar-se do contrato, sem justa causa, sob pena de ser obrigado a indenizar o empregador dos prejuízos que desse fato lhe resultar. Esta indenização, 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porem</w:t>
            </w:r>
            <w:proofErr w:type="spell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não poderá exceder àquela a que teria direito o empregado em idênticas condições.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único –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Aos contratos por prazo determinado, que contiverem cláusula assecuratória do direito recíproco de rescisão antes de expirado o termo ajustado, aplicam-se caso seja exercido tal direito por qualquer das partes, os princípios que regem a rescisão dos contratos por prazo indeterminado.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SEXTA - MULTA INDENIZATÓRIA RELATIVA AO TRINTÍDIO ANTERIOR À DATA-BASE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Conforme a Lei nº 7.238/84, em seu artigo 9º, fica assegurado aos empregados administrativos, o recebimento de indenização no valor de um salário do trabalhador, em virtude de dispensa sem justa causa, 30 dias antecedentes à data-base (01/03).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Relações de Trabalho – Condições de Trabalho, Normas de Pessoal e Estabilidades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Estabilidade Mãe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SÉTIMA - ESTABILIDADES DA GESTANTE E DA ADOTANTE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ESTABILIDADES DA GESTANTE E DA ADOTANTE -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Fica vedada a dispensa arbitrária ou sem justa causa da empregada gestante ou adotante, desde a confirmação da gravidez ou comprovação da adoção até 5 (cinco) meses após o parto ou adoção, conforme o disposto em lei.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 -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Não se aplica o disposto nesta cláusula no caso de: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 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a) rescisão contratual por justa causa;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 acordo entre as partes, assistido pelo sindicato profissional, onde seja garantida a indenização do período referido no </w:t>
            </w:r>
            <w:r w:rsidRPr="002E0B3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caput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c) pedido de demissão;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 -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O empregador poderá tornar sem efeito, unilateralmente, a dispensa imotivada, se a empregada comunicar o seu estado gravídico logo após a dação do aviso prévio ou da comunicação da dispensa.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TERCEIRO -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desconhecimento do estado gravídico pelo empregador, não afasta o direito ao pagamento da indenização decorrente da estabilidade (art. 10, II, "b", ADCT).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QUARTO –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direito prescrito na </w:t>
            </w:r>
            <w:hyperlink r:id="rId4" w:anchor="adctart10iib" w:tooltip="blocked::http://www.planalto.gov.br/CCIVIL_03/Constituicao/Constituicao.htm#adctart10iib" w:history="1">
              <w:r w:rsidRPr="002E0B3F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bdr w:val="none" w:sz="0" w:space="0" w:color="auto" w:frame="1"/>
                  <w:lang w:eastAsia="pt-B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alínea </w:t>
              </w:r>
              <w:r w:rsidRPr="002E0B3F">
                <w:rPr>
                  <w:rFonts w:ascii="Arial" w:eastAsia="Times New Roman" w:hAnsi="Arial" w:cs="Arial"/>
                  <w:i/>
                  <w:iCs/>
                  <w:color w:val="000000" w:themeColor="text1"/>
                  <w:sz w:val="21"/>
                  <w:szCs w:val="21"/>
                  <w:bdr w:val="none" w:sz="0" w:space="0" w:color="auto" w:frame="1"/>
                  <w:lang w:eastAsia="pt-B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b</w:t>
              </w:r>
              <w:r w:rsidRPr="002E0B3F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bdr w:val="none" w:sz="0" w:space="0" w:color="auto" w:frame="1"/>
                  <w:lang w:eastAsia="pt-B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 do inciso II do art. 10 do Ato das Disposições Constitucionais Transitórias</w:t>
              </w:r>
            </w:hyperlink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nos casos em que ocorrer o falecimento da genitora, será assegurado a quem detiver a guarda do seu filho.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Outras estabilidades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OITAVA - ESTABILIDADES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Gozarão de estabilidade no emprego, salvo por motivo de justa causa para demissão: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a) Por 60 (sessenta) dias, o empregado que tiver se afastado do trabalho por mais de quinze dias, após ter recebido alta médica;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 Por 1 (um) ano, imediatamente anterior à complementação do tempo para a aposentadoria;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c) Ao alistando, desde a incorporação no serviço militar até 30 dias após a baixa.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d) Por doze meses após a cessação do auxílio-doença acidentário, independentemente de percepção de auxílio-acidente, o segurado que sofreu acidente do trabalho;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único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O empregado de categoria diferenciada eleito dirigente sindical só goza de estabilidade se exercer na empresa atividade pertinente à categoria profissional do sindicato para o qual foi eleito dirigente.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Jornada de Trabalho – Duração, Distribuição, Controle, Faltas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Duração e Horário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NONA - JORNADA DE TRABALHO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padrão da jornada de trabalho dos empregados administrativos será de 44 (quarenta e quatro) horas semanais.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Compensação de Jornada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- BANCO DE HORAS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Fica autorizada a adoção do regime de compensação de horas de trabalho, denominado Banco de Horas, na forma preceituada pelo art. 59 parágrafos 2º e 3º da CLT, com redação dada pela Lei nº 9.601/98. O regime deverá ser formalizado por escrito entre empregado e o empregador, por força do prescrito na CLT, art. 59, </w:t>
            </w:r>
            <w:r w:rsidRPr="002E0B3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caput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bem como protocolado no SINTEEMAR.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 -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O período de contratação do Banco de Horas (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zeramento</w:t>
            </w:r>
            <w:proofErr w:type="spell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das horas extras realizadas) não poderá ser ajustado por prazo superior a 01(um) ano.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 -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 horas extras não compensadas com folgas, até o limite de 15(quinze) horas, por ocasião do 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zeramento</w:t>
            </w:r>
            <w:proofErr w:type="spell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serão remuneradas com adicional de 50% (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cinqüenta</w:t>
            </w:r>
            <w:proofErr w:type="spell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por cento), e as que excederem deste limite, serão remuneradas com adicional de 75% (setenta e cinco por cento).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TERCEIRO -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Em caso de rescisão do contrato de trabalho, não tendo havido a compensação integral das horas extras trabalhadas, o empregado terá o direito ao recebimento das horas extras não compensadas, calculadas sobre o valor da hora devida na data da rescisão com o adicional firmado no parágrafo anterior.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QUARTO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– Os empregadores deverão manter quadro de débito ou crédito do saldo de horas, ou fornecer mensalmente extrato desse saldo aos trabalhadores empregados administrativos.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QUINTO –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É facultado ao empregado denunciar, por escrito e a qualquer tempo, o acordo de compensação de horas firmado com o empregador.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SEXTO –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 horas extras referidas na presente cláusula não poderão ser compensadas com as férias ou dias de descanso remunerado do empregado.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SÉTIMO -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O regime de Banco de Horas poderá ser aplicado tanto quando da realização antecipada de horas de trabalho e posterior compensação em folgas, quanto para concessão de folga antecipada e posterior compensação com horas de trabalho.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Intervalos para Descanso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PRIMEIRA - INTERVALOS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 intervalos serão fixados nos seguintes termos: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- Fica assegurado o direito às empregadas lactantes a concessão legal dos intervalos 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intra-jornada</w:t>
            </w:r>
            <w:proofErr w:type="spell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para amamentação, acrescidos de trinta minutos, quando da necessidade do deslocamento, período este que deverá ser reposto durante a mesma semana, sob pena de não ser remunerado, salvo acordo contrário com o empregador.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II - O intervalo 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intra-jornada</w:t>
            </w:r>
            <w:proofErr w:type="spell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previsto no art. 71, da CLT, poderá ser fixado, entre o empregado e a Academia, com duração superior a duas horas, observado o intervalo 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inter-jornada</w:t>
            </w:r>
            <w:proofErr w:type="spell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previsto no art. 66 da CLT. As horas de intervalo, excedente de duas, não serão remuneradas, nem sobre elas recairá o adicional de hora extraordinária. Tal acordo deverá ser escrito e protocolado no SINTEEMAR.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Férias e Licenças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Remuneração de Férias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SEGUNDA - REMUNERAÇÃO DE FÉRIAS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Nos termos da Constituição (art. 7º XVII), fica assegurado ao trabalhador o gozo de férias remuneradas, com pelo menos um terço a mais do salário normal, que deverá ser pago até 02 (dois) dias antes do início do respectivo período (art. 145 CLT).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Licença Maternidade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TERCEIRA - LICENÇAS GESTANTE, ADOTANTE E SUSTITUTIVA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Fica concedida licença maternidade nos termos do art. 392, da CLT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A empregada deve, mediante atestado médico, notificar o seu empregador da data do início do afastamento do emprego, que poderá ocorrer entre o 28º (vigésimo oitavo) dia antes do parto e ocorrência deste.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 -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Os períodos de repouso, antes e depois do parto, poderão ser aumentados de 2 (duas) semanas cada um, mediante atestado médico.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TERCEIRO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Em caso de parto antecipado, a mulher terá direito aos 120 (cento e vinte) dias previstos neste artigo.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QUARTO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 A presente licença é aplicável à mãe adotante nos termos do art. 392-A, da CLT.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QUINTO -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 caso de morte da genitora, é assegurado ao cônjuge ou companheiro empregado o gozo de licença por todo o período da licença-maternidade ou pelo tempo restante a que teria direito a mãe, exceto no caso de falecimento do filho ou de seu abandono.</w:t>
            </w:r>
            <w:bookmarkStart w:id="0" w:name="art392c"/>
            <w:bookmarkEnd w:id="0"/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SEXTO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Aplica-se, no que couber, o disposto no art. 392-A e 392-B ao empregado que adotar ou obtiver guarda judicial para fins de adoção.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ARÁGRAFO SÉTIMO – Nos casos prescritos nos parágrafos quinto e sexto caberá ao regime geral de previdência social arcar com os custos relativos à licença do empregado.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Outras disposições sobre férias e licenças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QUARTA - LICENÇA PATERNIDADE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Aos pais empregados administrativos fica assegurada, por ocasião do nascimento de filho, uma licença de 5 (cinco) dias sem desconto de salário e vantagens.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Saúde e Segurança do Trabalhador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Aceitação de Atestados Médicos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QUINTA - ATESTADOS MÉDICOS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Os atestados médicos, para justificação de faltas ou afastamento do trabalho, devem ser 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vistados</w:t>
            </w:r>
            <w:proofErr w:type="spell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por médicos credenciados pelo empregador para terem eficácia jurídica, excetuados os atestados do Sistema Único de Saúde.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Relações Sindicais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Contribuições Sindicais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SEXTA - TAXA DE REVERSÃO SALARIAL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Observado o disposto no Precedente Normativo n. 119, do TST, o Estabelecimento de Ensino descontará, nos termos do art. 513, alínea "e" da C.L.T. e na forma fixada pela 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Assembléia</w:t>
            </w:r>
            <w:proofErr w:type="spell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Geral, a Taxa de Reversão Salarial de 4% (quatro por cento) do salário de cada trabalhador, a serem descontadas no mês de dezembro/2016.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O montante descontado dos trabalhadores a esse título será recolhido impreterivelmente até o dia 10 (dez) do mês de janeiro/2017, em guia própria, que deverá ser enviada ao SINTEEMAR, demonstrando o nome dos trabalhadores contribuintes, seus salários e o valor do desconto.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Os trabalhadores que mantiverem contratos de trabalho em estabelecimentos diversos, somente contribuirão em um deles. Caso ocorra duplo desconto o trabalhador será ressarcido de um deles.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TERCEIRO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Caso os recolhimentos não sejam efetuados na data aprazada o estabelecimento incorrerá em multa de 10%(dez por cento), além do índice de correção oficial ou equivalente.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QUARTO -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Fica garantido aos trabalhadores, o direito de oporem-se à cobrança referida no </w:t>
            </w:r>
            <w:r w:rsidRPr="002E0B3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caput.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Conforme Termo de Ajustamento de Conduta n.º 360/2013, tal direito deverá ser exercido entre o dia 07/12 até o dia 21/12/2016, mediante documento de oposição direta e pessoalmente pelo trabalhador, apresentado na sede do sindicato, constando, além da assinatura: nome completo do empregado; os números de inscrição no R.G.; CPF/MF e no PIS; endereço; inclusive eletrônico; telefone para contato; razão social; CNPJ/MF e endereço do empregador ou possibilidade de envio do documento de oposição por meio postal, com os mesmos dados mencionados, desde que igualmente assinada, com firma reconhecida e AR - aviso de recebimento, discriminando o conteúdo da correspondência, considerando-se a data da postagem como sendo da apresentação da oposição.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QUINTO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- Após o protocolo do presente texto no Ministério do Trabalho e Emprego, visando dar ampla publicidade à categoria profissional representada sobre o direito de oposição referido no dispositivo anterior, o SINTEEMAR fará publicar comunicado no jornal de maior circulação de Maringá, noticiando a referida 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pactuação</w:t>
            </w:r>
            <w:proofErr w:type="spellEnd"/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SÉTIMA - TAXA DE REVERSÃO PATRONAL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Ao Sindicato das Academias e Atividades Afins do Noroeste do Paraná - SINACAD/NOPR, as empresas que prestam os serviços descritos na cláusula primeira, desta Convenção Coletiva, deverão recolher taxa de reversão patronal (contribuição assistencial) no valor de: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-Associados – R$ 200,00 (Duzentos reais), no mês de dezembro/16;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Não associados – 400,00 (quatrocentos reais) no mês de dezembro/16.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 -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O montante devido, nos termos desta cláusula, de deverá ser recolhido, impreterivelmente, até o dia 20.12.16, em conta bancária a ser indicada pelo Sindicato, devendo ser enviada ao mesmo, cópia autenticada da folha de pagamento do mês de novembro, onde conste nome dos funcionários e seus salários.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 -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Caso o recolhimento não seja efetuado na data aprazada, sem prejuízo de inclusão do nome da Academia no Serviço de Proteção ao Crédito (SPC), conforme deliberação 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assemblear</w:t>
            </w:r>
            <w:proofErr w:type="spell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este Estabelecimento incorrerá em multa de 30% (trinta por cento) sobre o valor devido nos termos do </w:t>
            </w:r>
            <w:r w:rsidRPr="002E0B3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caput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 presente cláusula, além do reajuste mensal pelo INPC-IBGE, ou equivalente.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Terceiro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 Em caso de inadimplência da Academia ou empresa de atividade afim, fica assegurado ao Sindicato Patronal o direito de promover a execução judicial do crédito estabelecido no </w:t>
            </w:r>
            <w:r w:rsidRPr="002E0B3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caput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cumulado com as disposições previstas no parágrafo 2º, desta cláusula. Nesta hipótese, a Academia deverá arcar com despesas judiciais e honorários advocatícios relativos ao referido processo judicial. Para tanto, fica desde já eleito o foro de Maringá –PR.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Outras disposições sobre relação entre sindicato e empresa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OITAVA - SINDICALIZAÇÃO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 Academias não obstarão a sindicalização de seus empregados administrativos, obrigando-se a descontar em folha de pagamento a mensalidade devida, desde que por eles autorizados, e efetuar o recolhimento ao sindicato até o dia 10 (dez) do mês 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subseqüente</w:t>
            </w:r>
            <w:proofErr w:type="spell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ao que deu origem ao desconto, incorrendo na pena legal por descumprimento desta cláusula.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NONA - PUBLICAÇÕES SINDICAIS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 empregadores cientificarão a afixação em quadros próprios acessíveis aos empregados administrativos, as notas e publicações enviadas pelo sindicato, desde que não seja material político-partidário.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Outras disposições sobre representação e organização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TRIGÉSIMA - VINCULAÇÃO AO SINDICATO LABORAL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Todos os empregados administrativos da categoria profissional atingida por esta CCT deverão ficar vinculados à categoria do SINTEEMAR, seja qual for a sua função, recolhendo sua contribuição ao mesmo, exceto em caso de categoria profissional diferenciada com representação sindical própria.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TRIGÉSIMA PRIMEIRA - COMISSÃO PARITÁRIA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Qualquer dúvida por ventura existente nesta Convenção Coletiva de Trabalho, será dirimida por uma comissão paritária de três representantes do sindicato da categoria econômica e três representantes do sindicato da categoria profissional ao qual o problema esteja afeto, que esgotará todas as medidas conciliatórias ao seu alcance, a fim de evitar procedimento judicial.</w:t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ÚNICO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A comissão a que menciona o </w:t>
            </w:r>
            <w:r w:rsidRPr="002E0B3F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caput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desta cláusula será instalada em prazo de 60 (sessenta) dias a contar da data de depósito deste instrumento normativo, possuindo a atribuição, além daquela já mencionada, de efetivar a discussão e revisão da totalidade das cláusulas componentes do presente instrumento coletivo, de conformidade com o entendimento as respectivas diretorias, e após aprovação pelas 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assembléias</w:t>
            </w:r>
            <w:proofErr w:type="spell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gerais de ambas as entidades sindicais.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Disposições Gerais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Descumprimento do Instrumento Coletivo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TRIGÉSIMA SEGUNDA - MULTA POR DESCUMPRIMENTO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Fica estabelecido que o não cumprimento de quaisquer das cláusulas da presente Convenção Coletiva de Trabalho importará em uma multa equivalente a dez por cento do piso salarial do nível funcional do empregado, em favor da parte prejudicada, além das previstas em lei, ressalvando-se a aplicação da presente multa às cláusulas cujos textos forem repetição de lei, súmulas ou orientações jurisprudenciais.</w:t>
            </w:r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Outras Disposições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TRIGÉSIMA TERCEIRA - DESCONTOS NAS MENSALIDADES </w:t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Fica concedido ao empregado desconto de 100% (cem por cento) na mensalidade dos cursos oferecidos pelo empregador, assim como duas bolsas de 50% (</w:t>
            </w:r>
            <w:proofErr w:type="spellStart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cinqüenta</w:t>
            </w:r>
            <w:proofErr w:type="spellEnd"/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por cento) para seus parentes em 1º. Grau.</w:t>
            </w:r>
          </w:p>
          <w:p w:rsidR="002E0B3F" w:rsidRPr="002E0B3F" w:rsidRDefault="002E0B3F" w:rsidP="002E0B3F">
            <w:pPr>
              <w:spacing w:after="24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2E0B3F" w:rsidRPr="002E0B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B3F" w:rsidRPr="002E0B3F" w:rsidRDefault="002E0B3F" w:rsidP="002E0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</w: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  <w:t>GILMAR MEZZAROBA </w:t>
                  </w: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  <w:t>Presidente </w:t>
                  </w: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  <w:t>SINDICATO DAS ACADEMIAS E ATIVIDADES AFINS DO NOROESTE DO PARANA-SINACAD/NOPR </w:t>
                  </w: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</w: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</w: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</w: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  <w:t>JOSE MARIA DE OLIVEIRA MARQUES </w:t>
                  </w: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  <w:t>Presidente </w:t>
                  </w: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  <w:t>SIND DOS TRABALHADORES EM ESTAB DE ENSINO DE MARINGA </w:t>
                  </w: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</w:r>
                  <w:r w:rsidRPr="002E0B3F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</w:r>
                </w:p>
              </w:tc>
            </w:tr>
          </w:tbl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ANEXOS ANEXO I - ATA PATRONAL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tgtFrame="_blank" w:history="1">
              <w:r w:rsidRPr="002E0B3F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bdr w:val="none" w:sz="0" w:space="0" w:color="auto" w:frame="1"/>
                  <w:lang w:eastAsia="pt-B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Anexo (PDF)</w:t>
              </w:r>
            </w:hyperlink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2E0B3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ANEXO II - ATA LABORAL </w:t>
            </w: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2E0B3F" w:rsidRPr="002E0B3F" w:rsidRDefault="002E0B3F" w:rsidP="002E0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tgtFrame="_blank" w:history="1">
              <w:r w:rsidRPr="002E0B3F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bdr w:val="none" w:sz="0" w:space="0" w:color="auto" w:frame="1"/>
                  <w:lang w:eastAsia="pt-B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Anexo (PDF)</w:t>
              </w:r>
            </w:hyperlink>
          </w:p>
          <w:p w:rsidR="002E0B3F" w:rsidRPr="002E0B3F" w:rsidRDefault="002E0B3F" w:rsidP="002E0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0B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A autenticidade deste documento poderá ser confirmada na página do Ministério do Trabalho e Emprego na Internet, no endereço http://www.mte.gov.br. </w:t>
            </w:r>
          </w:p>
        </w:tc>
        <w:bookmarkStart w:id="1" w:name="_GoBack"/>
        <w:bookmarkEnd w:id="1"/>
      </w:tr>
    </w:tbl>
    <w:p w:rsidR="008B049B" w:rsidRPr="002E0B3F" w:rsidRDefault="008B049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B049B" w:rsidRPr="002E0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3F"/>
    <w:rsid w:val="002E0B3F"/>
    <w:rsid w:val="008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3261-7336-4680-94AA-5316DCF4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E0B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2E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0B3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E0B3F"/>
    <w:rPr>
      <w:color w:val="0000FF"/>
      <w:u w:val="single"/>
    </w:rPr>
  </w:style>
  <w:style w:type="paragraph" w:customStyle="1" w:styleId="texto1">
    <w:name w:val="texto1"/>
    <w:basedOn w:val="Normal"/>
    <w:rsid w:val="002E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mte.gov.br/sistemas/mediador/imagemAnexo/MR074419_20162016_12_05T11_45_32.pdf" TargetMode="External"/><Relationship Id="rId5" Type="http://schemas.openxmlformats.org/officeDocument/2006/relationships/hyperlink" Target="http://www3.mte.gov.br/sistemas/mediador/imagemAnexo/MR074419_20162016_11_28T15_58_25.pdf" TargetMode="External"/><Relationship Id="rId4" Type="http://schemas.openxmlformats.org/officeDocument/2006/relationships/hyperlink" Target="http://www.planalto.gov.br/CCIVIL_03/Constituicao/Constituica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4308</Words>
  <Characters>23268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 Ricardo</dc:creator>
  <cp:keywords/>
  <dc:description/>
  <cp:lastModifiedBy>Suporte Ricardo</cp:lastModifiedBy>
  <cp:revision>1</cp:revision>
  <dcterms:created xsi:type="dcterms:W3CDTF">2018-03-05T18:25:00Z</dcterms:created>
  <dcterms:modified xsi:type="dcterms:W3CDTF">2018-03-05T18:29:00Z</dcterms:modified>
</cp:coreProperties>
</file>